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 6-K/A</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REPORT OF FOREIGN PRIVATE ISSUER PURSUANT TO RULE 13a-16 OR 15d-16 UNDER THE</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EXCHANGE ACT OF 1934</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 the month of April, 2017.</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Commission File Number 33-65728</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CHEMICAL AND MINING COMPANY OF CHILE INC.</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El Trovador 4285, Santiago, Chile (562) 2425-2000</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3" w:lineRule="exact"/>
        <w:rPr>
          <w:sz w:val="24"/>
          <w:szCs w:val="24"/>
          <w:color w:val="auto"/>
        </w:rPr>
      </w:pPr>
    </w:p>
    <w:p>
      <w:pPr>
        <w:spacing w:after="0" w:line="207" w:lineRule="exact"/>
        <w:tabs>
          <w:tab w:leader="none" w:pos="12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Note: Regulation S-T Rule 101(b)(1) only permits the submission in paper of a Form 6-K if submitted solely to provide an attached annual report to security holders.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25" w:lineRule="exact"/>
        <w:rPr>
          <w:sz w:val="24"/>
          <w:szCs w:val="24"/>
          <w:color w:val="auto"/>
        </w:rPr>
      </w:pPr>
    </w:p>
    <w:p>
      <w:pPr>
        <w:spacing w:after="0" w:line="276" w:lineRule="auto"/>
        <w:rPr>
          <w:sz w:val="20"/>
          <w:szCs w:val="20"/>
          <w:color w:val="auto"/>
        </w:rPr>
      </w:pPr>
      <w:r>
        <w:rPr>
          <w:rFonts w:ascii="Arial" w:cs="Arial" w:eastAsia="Arial" w:hAnsi="Arial"/>
          <w:sz w:val="17"/>
          <w:szCs w:val="17"/>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380" w:lineRule="exact"/>
        <w:rPr>
          <w:sz w:val="24"/>
          <w:szCs w:val="24"/>
          <w:color w:val="auto"/>
        </w:rPr>
      </w:pPr>
    </w:p>
    <w:p>
      <w:pPr>
        <w:spacing w:after="0"/>
        <w:rPr>
          <w:sz w:val="20"/>
          <w:szCs w:val="20"/>
          <w:color w:val="auto"/>
        </w:rPr>
      </w:pPr>
      <w:r>
        <w:rPr>
          <w:rFonts w:ascii="Arial" w:cs="Arial" w:eastAsia="Arial" w:hAnsi="Arial"/>
          <w:sz w:val="14"/>
          <w:szCs w:val="14"/>
          <w:b w:val="1"/>
          <w:bCs w:val="1"/>
          <w:color w:val="004600"/>
        </w:rPr>
        <w:t>SQM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6779895</wp:posOffset>
            </wp:positionH>
            <wp:positionV relativeFrom="paragraph">
              <wp:posOffset>-86995</wp:posOffset>
            </wp:positionV>
            <wp:extent cx="445770" cy="5746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45770" cy="574675"/>
                    </a:xfrm>
                    <a:prstGeom prst="rect">
                      <a:avLst/>
                    </a:prstGeom>
                    <a:noFill/>
                  </pic:spPr>
                </pic:pic>
              </a:graphicData>
            </a:graphic>
          </wp:anchor>
        </w:drawing>
      </w:r>
    </w:p>
    <w:p>
      <w:pPr>
        <w:spacing w:after="0" w:line="226" w:lineRule="auto"/>
        <w:rPr>
          <w:sz w:val="20"/>
          <w:szCs w:val="20"/>
          <w:color w:val="auto"/>
        </w:rPr>
      </w:pPr>
      <w:r>
        <w:rPr>
          <w:rFonts w:ascii="Arial" w:cs="Arial" w:eastAsia="Arial" w:hAnsi="Arial"/>
          <w:sz w:val="14"/>
          <w:szCs w:val="14"/>
          <w:color w:val="004600"/>
        </w:rPr>
        <w:t>Los Militares 4290 Piso 6,</w:t>
      </w:r>
    </w:p>
    <w:p>
      <w:pPr>
        <w:spacing w:after="0" w:line="222" w:lineRule="auto"/>
        <w:rPr>
          <w:sz w:val="20"/>
          <w:szCs w:val="20"/>
          <w:color w:val="auto"/>
        </w:rPr>
      </w:pPr>
      <w:r>
        <w:rPr>
          <w:rFonts w:ascii="Arial" w:cs="Arial" w:eastAsia="Arial" w:hAnsi="Arial"/>
          <w:sz w:val="14"/>
          <w:szCs w:val="14"/>
          <w:color w:val="004600"/>
        </w:rPr>
        <w:t>Las Condes, Santiago, Chile</w:t>
      </w:r>
    </w:p>
    <w:p>
      <w:pPr>
        <w:spacing w:after="0" w:line="221" w:lineRule="auto"/>
        <w:rPr>
          <w:sz w:val="20"/>
          <w:szCs w:val="20"/>
          <w:color w:val="auto"/>
        </w:rPr>
      </w:pPr>
      <w:r>
        <w:rPr>
          <w:rFonts w:ascii="Arial" w:cs="Arial" w:eastAsia="Arial" w:hAnsi="Arial"/>
          <w:sz w:val="14"/>
          <w:szCs w:val="14"/>
          <w:color w:val="004600"/>
        </w:rPr>
        <w:t>Tel: (56 2) 2425 2485</w:t>
      </w:r>
    </w:p>
    <w:p>
      <w:pPr>
        <w:spacing w:after="0" w:line="222" w:lineRule="auto"/>
        <w:rPr>
          <w:sz w:val="20"/>
          <w:szCs w:val="20"/>
          <w:color w:val="auto"/>
        </w:rPr>
      </w:pPr>
      <w:r>
        <w:rPr>
          <w:rFonts w:ascii="Arial" w:cs="Arial" w:eastAsia="Arial" w:hAnsi="Arial"/>
          <w:sz w:val="14"/>
          <w:szCs w:val="14"/>
          <w:color w:val="004600"/>
        </w:rPr>
        <w:t>Fax: (56 2) 2425 2493</w:t>
      </w:r>
    </w:p>
    <w:p>
      <w:pPr>
        <w:spacing w:after="0"/>
        <w:rPr>
          <w:sz w:val="20"/>
          <w:szCs w:val="20"/>
          <w:color w:val="auto"/>
        </w:rPr>
      </w:pPr>
      <w:r>
        <w:rPr>
          <w:rFonts w:ascii="Arial" w:cs="Arial" w:eastAsia="Arial" w:hAnsi="Arial"/>
          <w:sz w:val="14"/>
          <w:szCs w:val="14"/>
          <w:color w:val="004600"/>
        </w:rPr>
        <w:t>www.sqm.com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1" w:name="page2"/>
    <w:bookmarkEnd w:id="1"/>
    <w:p>
      <w:pPr>
        <w:jc w:val="both"/>
        <w:spacing w:after="0" w:line="273" w:lineRule="auto"/>
        <w:rPr>
          <w:sz w:val="20"/>
          <w:szCs w:val="20"/>
          <w:color w:val="auto"/>
        </w:rPr>
      </w:pPr>
      <w:r>
        <w:rPr>
          <w:rFonts w:ascii="Arial" w:cs="Arial" w:eastAsia="Arial" w:hAnsi="Arial"/>
          <w:sz w:val="17"/>
          <w:szCs w:val="17"/>
          <w:b w:val="1"/>
          <w:bCs w:val="1"/>
          <w:color w:val="auto"/>
        </w:rPr>
        <w:t xml:space="preserve">Santiago, Chile, April 17, 2017 – </w:t>
      </w:r>
      <w:r>
        <w:rPr>
          <w:rFonts w:ascii="Arial" w:cs="Arial" w:eastAsia="Arial" w:hAnsi="Arial"/>
          <w:sz w:val="17"/>
          <w:szCs w:val="17"/>
          <w:color w:val="auto"/>
        </w:rPr>
        <w:t>Sociedad Química y Minera de Chile S.A. (SQM) (NYSE: SQM; Santiago Stock Exchange: SQM-A, SQM-B), informs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that today the administration of SQM became aware that three groups of shareholders of SQM, i.e. (i) Grupo Pampa, acting through Sociedad de Inversiones Pampa Calichera S.A., Inversiones Global Mining Chile Limitada y Potasios de Chile S.A., (ii) Grupo Kowa, acting through Kowa Company Ltd., Inversiones La Esperanza (Chile) Limitada, Kochi S.A. and La Esperanza Delaware Corporation, and (iii) Grupo PCS, acting through Inversiones El Boldo Limitada, Inversiones RAC Chile Ltda. and Inversiones PCS Chile Limitada, had executed on the date hereof an agreement, with respect to certain corporate governance matters, that are of interest of SQM and/or its shareholders (the Agreement). The Agreement was made public by Sociedad de Inversiones Pampa Calichera S.A. to the Chilean market through an </w:t>
      </w:r>
      <w:r>
        <w:rPr>
          <w:rFonts w:ascii="Arial" w:cs="Arial" w:eastAsia="Arial" w:hAnsi="Arial"/>
          <w:sz w:val="17"/>
          <w:szCs w:val="17"/>
          <w:i w:val="1"/>
          <w:iCs w:val="1"/>
          <w:color w:val="auto"/>
        </w:rPr>
        <w:t>hecho esencial</w:t>
      </w:r>
      <w:r>
        <w:rPr>
          <w:rFonts w:ascii="Arial" w:cs="Arial" w:eastAsia="Arial" w:hAnsi="Arial"/>
          <w:sz w:val="17"/>
          <w:szCs w:val="17"/>
          <w:color w:val="auto"/>
        </w:rPr>
        <w:t xml:space="preserve"> according to the Chilean regulation</w:t>
      </w:r>
      <w:r>
        <w:rPr>
          <w:rFonts w:ascii="Arial" w:cs="Arial" w:eastAsia="Arial" w:hAnsi="Arial"/>
          <w:sz w:val="17"/>
          <w:szCs w:val="17"/>
          <w:i w:val="1"/>
          <w:iCs w:val="1"/>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 copy of the Agreement can be found attached as Exhibit 99.1.</w:t>
      </w:r>
    </w:p>
    <w:p>
      <w:pPr>
        <w:spacing w:after="0" w:line="200" w:lineRule="exact"/>
        <w:rPr>
          <w:sz w:val="20"/>
          <w:szCs w:val="20"/>
          <w:color w:val="auto"/>
        </w:rPr>
      </w:pPr>
    </w:p>
    <w:p>
      <w:pPr>
        <w:spacing w:after="0" w:line="234" w:lineRule="exact"/>
        <w:rPr>
          <w:sz w:val="20"/>
          <w:szCs w:val="20"/>
          <w:color w:val="auto"/>
        </w:rPr>
      </w:pPr>
    </w:p>
    <w:p>
      <w:pPr>
        <w:ind w:left="112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t>About SQM</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SQM is an integrated producer and distributor of specialty plant nutrients, iodine, lithium, potassium-related fertilizers and industrial chemicals. Its products are based on the development of high quality natural resources that allow the Company to be a leader in costs, supported by a specialized international network with sales in over 110 countries. SQM’s development strategy aims to maintain and strengthen the Company’s position in each of its businesses.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leadership strategy is based on the Company’s competitive advantages and on the sustainable growth of the different markets in which it participates.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SQM’s main competitive advantages in its different businesses include:</w:t>
      </w:r>
    </w:p>
    <w:p>
      <w:pPr>
        <w:spacing w:after="0" w:line="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Low production costs based on vast and high quality natural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Know-how and its own technological developments in its various production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Logistics infrastructure and high production levels that allow SQM to have low distribution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High market share in all its core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International sales network with offices in 20 countries and sales in over 110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Synergies from the production of multiple products that are obtained from the same two natural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Continuous new product development according to the specific needs of its different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Conservative and solid financial position.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Gerardo Illanes 56-2-24252022 / </w:t>
      </w:r>
      <w:r>
        <w:rPr>
          <w:rFonts w:ascii="Arial" w:cs="Arial" w:eastAsia="Arial" w:hAnsi="Arial"/>
          <w:sz w:val="18"/>
          <w:szCs w:val="18"/>
          <w:u w:val="single" w:color="auto"/>
          <w:color w:val="auto"/>
        </w:rPr>
        <w:t>gerardo.illanes@sqm.com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Kelly O’Brien 56-2-24252074 / </w:t>
      </w:r>
      <w:r>
        <w:rPr>
          <w:rFonts w:ascii="Arial" w:cs="Arial" w:eastAsia="Arial" w:hAnsi="Arial"/>
          <w:sz w:val="18"/>
          <w:szCs w:val="18"/>
          <w:u w:val="single" w:color="auto"/>
          <w:color w:val="auto"/>
        </w:rPr>
        <w:t>kelly.obrien@sqm.com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Irina Axenova 56-2-24252280 / </w:t>
      </w:r>
      <w:r>
        <w:rPr>
          <w:rFonts w:ascii="Arial" w:cs="Arial" w:eastAsia="Arial" w:hAnsi="Arial"/>
          <w:sz w:val="18"/>
          <w:szCs w:val="18"/>
          <w:u w:val="single" w:color="auto"/>
          <w:color w:val="auto"/>
        </w:rPr>
        <w:t>irina.axenova@sqm.com</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For media inquiries,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Carolina García Huidobro / </w:t>
      </w:r>
      <w:r>
        <w:rPr>
          <w:rFonts w:ascii="Arial" w:cs="Arial" w:eastAsia="Arial" w:hAnsi="Arial"/>
          <w:sz w:val="18"/>
          <w:szCs w:val="18"/>
          <w:u w:val="single" w:color="auto"/>
          <w:color w:val="auto"/>
        </w:rPr>
        <w:t>carolina.g.huidobro@sqm.com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Alvaro Cifuentes / </w:t>
      </w:r>
      <w:r>
        <w:rPr>
          <w:rFonts w:ascii="Arial" w:cs="Arial" w:eastAsia="Arial" w:hAnsi="Arial"/>
          <w:sz w:val="18"/>
          <w:szCs w:val="18"/>
          <w:u w:val="single" w:color="auto"/>
          <w:color w:val="auto"/>
        </w:rPr>
        <w:t>Alvaro.cifuentes@sqm.com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Tamara Rebolledo / </w:t>
      </w:r>
      <w:r>
        <w:rPr>
          <w:rFonts w:ascii="Arial" w:cs="Arial" w:eastAsia="Arial" w:hAnsi="Arial"/>
          <w:sz w:val="18"/>
          <w:szCs w:val="18"/>
          <w:u w:val="single" w:color="auto"/>
          <w:color w:val="auto"/>
        </w:rPr>
        <w:t>Tamara.rebolledo@sqm.com</w:t>
      </w:r>
      <w:r>
        <w:rPr>
          <w:rFonts w:ascii="Arial" w:cs="Arial" w:eastAsia="Arial" w:hAnsi="Arial"/>
          <w:sz w:val="18"/>
          <w:szCs w:val="18"/>
          <w:color w:val="auto"/>
        </w:rPr>
        <w:t xml:space="preserve"> (Northern Region)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Cautionary Note Regarding Forward-Looking Statements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news release contains “forward-looking statements” within the meaning of the safe harbor provisions of the U.S. Private Securities Litigation Reform Act of 1995. Forward-looking statements can be identified by words such as: “anticipate,” “plan,” “believe,” “estimate,” “expect,” “strategy,” “should,” “will” and similar references to future periods. Examples of forward-looking statements include, among others, statements we make concerning the Company’s business outlook, future economic performance, anticipated profitability, revenues, expenses, or other financial items, anticipated cost synergies and product or service line growth.</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Forward-looking statements are neither historical facts nor assurances of future performance. Instead, they are estimates that reflect the best judgment of SQM management based on currently available information. Because forward-looking statements relate to the future, they involve a number of risks, uncertainties and other factors that are outside of our control and could cause actual results to differ materially from those stated in such statements. Therefore, you should not rely on any of these forward-looking statements. Readers are referred to the documents filed by SQM with the United States Securities and Exchange Commission, specifically the most recent annual report on Form 20-F, which identifies important risk factors that could cause actual results to differ from those contained in the forward-looking statements. All forward-looking statements are based on information available to SQM on the date hereof and SQM assumes no obligation to update such statements, whether as a result of new information, future developments or otherwise.</w:t>
      </w:r>
    </w:p>
    <w:p>
      <w:pPr>
        <w:spacing w:after="0" w:line="376" w:lineRule="exact"/>
        <w:rPr>
          <w:sz w:val="20"/>
          <w:szCs w:val="20"/>
          <w:color w:val="auto"/>
        </w:rPr>
      </w:pPr>
    </w:p>
    <w:p>
      <w:pPr>
        <w:ind w:left="112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7080"/>
        <w:spacing w:after="0"/>
        <w:rPr>
          <w:sz w:val="20"/>
          <w:szCs w:val="20"/>
          <w:color w:val="auto"/>
        </w:rPr>
      </w:pPr>
      <w:r>
        <w:rPr>
          <w:rFonts w:ascii="Arial" w:cs="Arial" w:eastAsia="Arial" w:hAnsi="Arial"/>
          <w:sz w:val="18"/>
          <w:szCs w:val="18"/>
          <w:u w:val="single" w:color="auto"/>
          <w:color w:val="auto"/>
        </w:rPr>
        <w:t>CHEMICAL AND MINING COMPANY OF CHILE INC.</w:t>
      </w:r>
    </w:p>
    <w:p>
      <w:pPr>
        <w:spacing w:after="0" w:line="23" w:lineRule="exact"/>
        <w:rPr>
          <w:sz w:val="20"/>
          <w:szCs w:val="20"/>
          <w:color w:val="auto"/>
        </w:rPr>
      </w:pPr>
    </w:p>
    <w:p>
      <w:pPr>
        <w:ind w:left="10560"/>
        <w:spacing w:after="0"/>
        <w:rPr>
          <w:sz w:val="20"/>
          <w:szCs w:val="20"/>
          <w:color w:val="auto"/>
        </w:rPr>
      </w:pPr>
      <w:r>
        <w:rPr>
          <w:rFonts w:ascii="Arial" w:cs="Arial" w:eastAsia="Arial" w:hAnsi="Arial"/>
          <w:sz w:val="16"/>
          <w:szCs w:val="16"/>
          <w:color w:val="auto"/>
        </w:rPr>
        <w:t>(Registrant)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 April 18, 2017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Ricardo Ramos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Ricardo Ramos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CFO &amp; Vice-President of Development</w:t>
      </w:r>
    </w:p>
    <w:p>
      <w:pPr>
        <w:spacing w:after="0" w:line="200" w:lineRule="exact"/>
        <w:rPr>
          <w:sz w:val="20"/>
          <w:szCs w:val="20"/>
          <w:color w:val="auto"/>
        </w:rPr>
      </w:pPr>
    </w:p>
    <w:p>
      <w:pPr>
        <w:spacing w:after="0" w:line="223"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Persons who are to respond to the collection of information contained SEC 1815 (04-09) in this form are not required to respond unless the form displays currently valid OMB control number.</w:t>
      </w:r>
    </w:p>
    <w:p>
      <w:pPr>
        <w:spacing w:after="0" w:line="382"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4" w:name="page5"/>
    <w:bookmarkEnd w:id="4"/>
    <w:p>
      <w:pPr>
        <w:ind w:left="91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187325</wp:posOffset>
            </wp:positionV>
            <wp:extent cx="7246620" cy="9433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9433560"/>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9433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9433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9433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9433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9433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9433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9433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9433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9433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9433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93992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9399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93992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9399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9399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9399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9399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9399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9399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9399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9399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93992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2020-01-16T22:58:38Z</dcterms:created>
  <dcterms:modified xsi:type="dcterms:W3CDTF">2020-01-16T22:58:38Z</dcterms:modified>
</cp:coreProperties>
</file>