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UNITED STATES</w:t>
      </w:r>
    </w:p>
    <w:p>
      <w:pPr>
        <w:jc w:val="center"/>
        <w:ind w:right="-1120"/>
        <w:spacing w:after="0" w:line="204" w:lineRule="auto"/>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Washington, D.C. 20549</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Form 6-K</w:t>
      </w:r>
    </w:p>
    <w:p>
      <w:pPr>
        <w:jc w:val="center"/>
        <w:ind w:right="-1120"/>
        <w:spacing w:after="0" w:line="215" w:lineRule="auto"/>
        <w:rPr>
          <w:sz w:val="20"/>
          <w:szCs w:val="20"/>
          <w:color w:val="auto"/>
        </w:rPr>
      </w:pPr>
      <w:r>
        <w:rPr>
          <w:rFonts w:ascii="Times New Roman" w:cs="Times New Roman" w:eastAsia="Times New Roman" w:hAnsi="Times New Roman"/>
          <w:sz w:val="21"/>
          <w:szCs w:val="21"/>
          <w:color w:val="auto"/>
        </w:rPr>
        <w:t>REPORT OF FOREIGN PRIVATE ISSUER PURSUANT TO RULE 13a-16 OR 15d-16 UNDER THE</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SECURITIES EXCHANGE ACT OF 1934</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For the month of January 2026.</w:t>
      </w:r>
    </w:p>
    <w:p>
      <w:pPr>
        <w:jc w:val="center"/>
        <w:ind w:right="-1120"/>
        <w:spacing w:after="0"/>
        <w:rPr>
          <w:sz w:val="20"/>
          <w:szCs w:val="20"/>
          <w:color w:val="auto"/>
        </w:rPr>
      </w:pPr>
      <w:r>
        <w:rPr>
          <w:rFonts w:ascii="Times New Roman" w:cs="Times New Roman" w:eastAsia="Times New Roman" w:hAnsi="Times New Roman"/>
          <w:sz w:val="22"/>
          <w:szCs w:val="22"/>
          <w:color w:val="auto"/>
        </w:rPr>
        <w:t>Commission File Number 33-65728</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jc w:val="center"/>
        <w:ind w:right="-112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El Trovador 4285, Santiago, Chile (562) 2425-2000</w:t>
      </w:r>
    </w:p>
    <w:p>
      <w:pPr>
        <w:jc w:val="center"/>
        <w:ind w:right="-112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24" w:lineRule="exact"/>
        <w:rPr>
          <w:sz w:val="24"/>
          <w:szCs w:val="24"/>
          <w:color w:val="auto"/>
        </w:rPr>
      </w:pPr>
    </w:p>
    <w:p>
      <w:pPr>
        <w:ind w:right="1639"/>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20-F:_</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_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left="340" w:right="260"/>
        <w:spacing w:after="0" w:line="262" w:lineRule="auto"/>
        <w:rPr>
          <w:sz w:val="20"/>
          <w:szCs w:val="20"/>
          <w:color w:val="auto"/>
        </w:rPr>
      </w:pPr>
      <w:r>
        <w:rPr>
          <w:rFonts w:ascii="Times New Roman" w:cs="Times New Roman" w:eastAsia="Times New Roman" w:hAnsi="Times New Roman"/>
          <w:sz w:val="22"/>
          <w:szCs w:val="22"/>
          <w:b w:val="1"/>
          <w:bCs w:val="1"/>
          <w:color w:val="auto"/>
        </w:rPr>
        <w:t>SQM ANNOUNCES FULL COMPLETION OF MERGER WITH CODELCO AFTER FAVOURABLE SUPREME COURT RESOLUTION</w:t>
      </w:r>
    </w:p>
    <w:p>
      <w:pPr>
        <w:spacing w:after="0" w:line="200" w:lineRule="exact"/>
        <w:rPr>
          <w:sz w:val="20"/>
          <w:szCs w:val="20"/>
          <w:color w:val="auto"/>
        </w:rPr>
      </w:pPr>
    </w:p>
    <w:p>
      <w:pPr>
        <w:spacing w:after="0" w:line="2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Santiago, Chile – January 27, 2025 </w:t>
      </w:r>
      <w:r>
        <w:rPr>
          <w:rFonts w:ascii="Times New Roman" w:cs="Times New Roman" w:eastAsia="Times New Roman" w:hAnsi="Times New Roman"/>
          <w:sz w:val="20"/>
          <w:szCs w:val="20"/>
          <w:color w:val="auto"/>
        </w:rPr>
        <w:t>- Sociedad Química y Minera de Chile S.A. (SQM) (NYSE: SQM; Santiago Stock Exchange: SQM-B,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SQM-A) announces that the condition precedent related to the merger by absorption (the “Merger”) of Codelco’s subsidiary, Minera Tarar SpA, into the Company’s subsidiary, SQM Salar SpA (now “Nova Andino Litio SpA”), has been resolved, allowing the previously announced transaction to take full effect.</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As disclosed on December 27, 2025, the completion of the partnership between the Company and the National Copper Corporation of Chile (“Codelco”) for the mining, production, commercial, community, and environmental development of the Salar de Atacama—through the Merger of Codelco’s subsidiary, Minera Tarar SpA, into the Company’s subsidiary, SQM Salar SpA (now “Nova Andino Litio SpA”)—was subject, among other matters, to a condition subsequent. This condition required that the Supreme Court accept the appeal filed by Inversiones TLC SpA under Case No. 52,750-2025 (“Tianqi’s Appeal”) against the judgment issued by the Court of Appeals of Santiago on November 11, 2025, in Case No. 508-2024 (the “Condition Subsequent”).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January 26, 2026, notification was given of the Supreme Court’s ruling confirming the judgment of the Court of Appeals of Santiago, thereby rejecting Tianqi’s Appeal in its entirety.</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As a result of the foregoing, the Condition Subsequent to which the Merger was subject has failed, thereby confirming its completion for all legal purposes.</w:t>
      </w:r>
    </w:p>
    <w:p>
      <w:pPr>
        <w:sectPr>
          <w:pgSz w:w="11900" w:h="16838" w:orient="portrait"/>
          <w:cols w:equalWidth="0" w:num="1">
            <w:col w:w="11240"/>
          </w:cols>
          <w:pgMar w:left="320" w:top="14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auto"/>
        </w:rPr>
        <w:t>About SQM</w:t>
      </w:r>
    </w:p>
    <w:p>
      <w:pPr>
        <w:spacing w:after="0" w:line="1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SQM is a global company that is listed on the New York Stock Exchange and the Santiago Stock Exchange (NYSE: SQM; Santiago Stock Exchange: SQM-B, SQM-A). SQM develops and produces diverse products for several industries essential for human progress, such as health, nutrition, renewable energy and technology through innovation and technological development. We aim to maintain our leading world position in the lithium, potassium nitrate and iodine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further information, contact: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Gerardo Illanes: </w:t>
      </w:r>
      <w:r>
        <w:rPr>
          <w:rFonts w:ascii="Times New Roman" w:cs="Times New Roman" w:eastAsia="Times New Roman" w:hAnsi="Times New Roman"/>
          <w:sz w:val="16"/>
          <w:szCs w:val="16"/>
          <w:color w:val="0000FF"/>
        </w:rPr>
        <w:t>gerardo.illanes@sqm.com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Isabel Bendeck: </w:t>
      </w:r>
      <w:r>
        <w:rPr>
          <w:rFonts w:ascii="Times New Roman" w:cs="Times New Roman" w:eastAsia="Times New Roman" w:hAnsi="Times New Roman"/>
          <w:sz w:val="16"/>
          <w:szCs w:val="16"/>
          <w:color w:val="0000FF"/>
        </w:rPr>
        <w:t>isabel.bendeck@sqm.com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Megan Suitor: </w:t>
      </w:r>
      <w:r>
        <w:rPr>
          <w:rFonts w:ascii="Times New Roman" w:cs="Times New Roman" w:eastAsia="Times New Roman" w:hAnsi="Times New Roman"/>
          <w:sz w:val="16"/>
          <w:szCs w:val="16"/>
          <w:color w:val="0000FF"/>
        </w:rPr>
        <w:t>megan.suitor@sqm.com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Media contacts: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Lithium Division: Ignacia Lopez </w:t>
      </w:r>
      <w:r>
        <w:rPr>
          <w:rFonts w:ascii="Times New Roman" w:cs="Times New Roman" w:eastAsia="Times New Roman" w:hAnsi="Times New Roman"/>
          <w:sz w:val="16"/>
          <w:szCs w:val="16"/>
          <w:color w:val="0000FF"/>
        </w:rPr>
        <w:t>/ ignacia.lopez@sqm.com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Iodine- Plant Nutrition Division: Carolina Guzman / </w:t>
      </w:r>
      <w:r>
        <w:rPr>
          <w:rFonts w:ascii="Times New Roman" w:cs="Times New Roman" w:eastAsia="Times New Roman" w:hAnsi="Times New Roman"/>
          <w:sz w:val="16"/>
          <w:szCs w:val="16"/>
          <w:color w:val="0000FF"/>
        </w:rPr>
        <w:t>carolina.guzman@sqm.com</w:t>
      </w:r>
    </w:p>
    <w:p>
      <w:pPr>
        <w:spacing w:after="0"/>
        <w:rPr>
          <w:sz w:val="20"/>
          <w:szCs w:val="20"/>
          <w:color w:val="auto"/>
        </w:rPr>
      </w:pPr>
      <w:r>
        <w:rPr>
          <w:rFonts w:ascii="Times New Roman" w:cs="Times New Roman" w:eastAsia="Times New Roman" w:hAnsi="Times New Roman"/>
          <w:sz w:val="16"/>
          <w:szCs w:val="16"/>
          <w:color w:val="auto"/>
        </w:rPr>
        <w:t xml:space="preserve">International Lithium Divicion: Diana WearingSmith / </w:t>
      </w:r>
      <w:r>
        <w:rPr>
          <w:rFonts w:ascii="Times New Roman" w:cs="Times New Roman" w:eastAsia="Times New Roman" w:hAnsi="Times New Roman"/>
          <w:sz w:val="16"/>
          <w:szCs w:val="16"/>
          <w:color w:val="0000FF"/>
        </w:rPr>
        <w:t>diana.wearingsmith@sqm.com</w:t>
      </w:r>
    </w:p>
    <w:p>
      <w:pPr>
        <w:sectPr>
          <w:pgSz w:w="11900" w:h="16838" w:orient="portrait"/>
          <w:cols w:equalWidth="0" w:num="1">
            <w:col w:w="11040"/>
          </w:cols>
          <w:pgMar w:left="320" w:top="1408"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u w:val="single" w:color="auto"/>
          <w:color w:val="auto"/>
        </w:rPr>
        <w:t>SIGNATURES</w:t>
      </w:r>
    </w:p>
    <w:p>
      <w:pPr>
        <w:spacing w:after="0" w:line="1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(Registrant)</w:t>
      </w:r>
    </w:p>
    <w:p>
      <w:pPr>
        <w:spacing w:after="0" w:line="1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2"/>
          <w:szCs w:val="22"/>
          <w:color w:val="auto"/>
        </w:rPr>
        <w:t>Date: January 30, 2025</w:t>
      </w:r>
      <w:r>
        <w:rPr>
          <w:sz w:val="20"/>
          <w:szCs w:val="20"/>
          <w:color w:val="auto"/>
        </w:rPr>
        <w:tab/>
      </w:r>
      <w:r>
        <w:rPr>
          <w:rFonts w:ascii="Times New Roman" w:cs="Times New Roman" w:eastAsia="Times New Roman" w:hAnsi="Times New Roman"/>
          <w:sz w:val="21"/>
          <w:szCs w:val="21"/>
          <w:color w:val="auto"/>
        </w:rPr>
        <w:t>/s/ Gerardo Illanes</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 Gerardo Illanes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2"/>
          <w:szCs w:val="22"/>
          <w:color w:val="auto"/>
        </w:rPr>
        <w:t>CFO</w:t>
      </w:r>
    </w:p>
    <w:p>
      <w:pPr>
        <w:spacing w:after="0" w:line="320" w:lineRule="exact"/>
        <w:rPr>
          <w:sz w:val="20"/>
          <w:szCs w:val="20"/>
          <w:color w:val="auto"/>
        </w:rPr>
      </w:pPr>
    </w:p>
    <w:p>
      <w:pPr>
        <w:jc w:val="center"/>
        <w:ind w:left="340" w:right="100"/>
        <w:spacing w:after="0" w:line="239" w:lineRule="auto"/>
        <w:rPr>
          <w:sz w:val="20"/>
          <w:szCs w:val="20"/>
          <w:color w:val="auto"/>
        </w:rPr>
      </w:pPr>
      <w:r>
        <w:rPr>
          <w:rFonts w:ascii="Times New Roman" w:cs="Times New Roman" w:eastAsia="Times New Roman" w:hAnsi="Times New Roman"/>
          <w:sz w:val="18"/>
          <w:szCs w:val="18"/>
          <w:b w:val="1"/>
          <w:bCs w:val="1"/>
          <w:color w:val="auto"/>
        </w:rPr>
        <w:t>Persons who are to respond to the collection of information contained SEC 1815 (04-09) in this form are not required to respond unless the form displays currently valid OMB control number.</w:t>
      </w:r>
    </w:p>
    <w:sectPr>
      <w:pgSz w:w="11900" w:h="16838" w:orient="portrait"/>
      <w:cols w:equalWidth="0" w:num="1">
        <w:col w:w="11240"/>
      </w:cols>
      <w:pgMar w:left="320" w:top="1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2026-01-30T07:03:45Z</dcterms:created>
  <dcterms:modified xsi:type="dcterms:W3CDTF">2026-01-30T07:03:45Z</dcterms:modified>
</cp:coreProperties>
</file>